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after="120" w:before="480" w:line="240" w:lineRule="auto"/>
        <w:rPr>
          <w:rFonts w:ascii="Cal Sans" w:cs="Cal Sans" w:eastAsia="Cal Sans" w:hAnsi="Cal Sans"/>
          <w:b w:val="1"/>
          <w:bCs w:val="1"/>
          <w:color w:val="115e95"/>
          <w:sz w:val="44"/>
          <w:szCs w:val="44"/>
        </w:rPr>
      </w:pPr>
      <w:bookmarkStart w:colFirst="0" w:colLast="0" w:name="_heading=h.cwbpxday4e3e" w:id="0"/>
      <w:bookmarkEnd w:id="0"/>
      <w:r w:rsidDel="00000000" w:rsidR="00000000" w:rsidRPr="00000000">
        <w:rPr>
          <w:rFonts w:ascii="Cal Sans" w:cs="Cal Sans" w:eastAsia="Cal Sans" w:hAnsi="Cal Sans"/>
          <w:b w:val="1"/>
          <w:bCs w:val="1"/>
          <w:color w:val="115e95"/>
          <w:sz w:val="44"/>
          <w:szCs w:val="44"/>
          <w:rtl w:val="0"/>
        </w:rPr>
        <w:t xml:space="preserve">Del análisis a la acción: iniciativas del Centro de Estudios</w:t>
      </w:r>
    </w:p>
    <w:p w:rsidR="00000000" w:rsidDel="00000000" w:rsidP="00000000" w:rsidRDefault="00000000" w:rsidRPr="00000000" w14:paraId="00000002">
      <w:pPr>
        <w:spacing w:after="240" w:before="240"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Durante los últimos meses, dos iniciativas han concentrado parte del trabajo focalizado de Democracia y Progreso: la sistematización de experiencias municipales en Huechuraba y el análisis de los desafíos que presenta la implementación de la Ley Lafkenche.</w:t>
      </w:r>
    </w:p>
    <w:p w:rsidR="00000000" w:rsidDel="00000000" w:rsidP="00000000" w:rsidRDefault="00000000" w:rsidRPr="00000000" w14:paraId="00000003">
      <w:pPr>
        <w:spacing w:after="240" w:before="240" w:line="240" w:lineRule="auto"/>
        <w:jc w:val="righ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Centro de Estudios Democracia y Progreso</w:t>
      </w:r>
    </w:p>
    <w:p w:rsidR="00000000" w:rsidDel="00000000" w:rsidP="00000000" w:rsidRDefault="00000000" w:rsidRPr="00000000" w14:paraId="00000004">
      <w:pPr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Ambas líneas de trabajo reflejan el interés del Centro de Estudios por vincular la investigación y el análisis institucional con problemas concretos de la gestión pública. Mientras la primera busca identificar y sistematizar experiencias municipales que puedan ser replicadas en otras comunas, la segunda propone ajustes a una normativa cuya aplicación ha evidenciado dificultades durante sus años de vigencia.</w:t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before="360" w:line="240" w:lineRule="auto"/>
        <w:rPr>
          <w:rFonts w:ascii="Cal Sans" w:cs="Cal Sans" w:eastAsia="Cal Sans" w:hAnsi="Cal Sans"/>
          <w:b w:val="1"/>
          <w:bCs w:val="1"/>
          <w:color w:val="115e95"/>
          <w:sz w:val="34"/>
          <w:szCs w:val="34"/>
        </w:rPr>
      </w:pPr>
      <w:bookmarkStart w:colFirst="0" w:colLast="0" w:name="_heading=h.t7t2cto5ps1a" w:id="1"/>
      <w:bookmarkEnd w:id="1"/>
      <w:r w:rsidDel="00000000" w:rsidR="00000000" w:rsidRPr="00000000">
        <w:rPr>
          <w:rFonts w:ascii="Cal Sans" w:cs="Cal Sans" w:eastAsia="Cal Sans" w:hAnsi="Cal Sans"/>
          <w:b w:val="1"/>
          <w:bCs w:val="1"/>
          <w:color w:val="115e95"/>
          <w:sz w:val="34"/>
          <w:szCs w:val="34"/>
          <w:rtl w:val="0"/>
        </w:rPr>
        <w:t xml:space="preserve">Municipalidad de Huechuraba: sistematizar experiencias para facilitar su réplica</w:t>
      </w:r>
    </w:p>
    <w:p w:rsidR="00000000" w:rsidDel="00000000" w:rsidP="00000000" w:rsidRDefault="00000000" w:rsidRPr="00000000" w14:paraId="00000006">
      <w:pPr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Desde junio de 2026, Democracia y Progreso colabora con la Municipalidad de Huechuraba en un proyecto destinado a </w:t>
      </w:r>
      <w:r w:rsidDel="00000000" w:rsidR="00000000" w:rsidRPr="00000000">
        <w:rPr>
          <w:b w:val="1"/>
          <w:bCs w:val="1"/>
          <w:rtl w:val="0"/>
        </w:rPr>
        <w:t xml:space="preserve">sistematizar iniciativas municipales ya implementadas y que han demostrado resultados positivos</w:t>
      </w:r>
      <w:r w:rsidDel="00000000" w:rsidR="00000000" w:rsidRPr="00000000">
        <w:rPr>
          <w:rtl w:val="0"/>
        </w:rPr>
        <w:t xml:space="preserve">, con el propósito de documentar sus características, mecanismos de funcionamiento y principales aprendizajes, y poner esta información a disposición de otros municipios interesados en evaluar su eventual réplica. La iniciativa es dirigida por </w:t>
      </w:r>
      <w:r w:rsidDel="00000000" w:rsidR="00000000" w:rsidRPr="00000000">
        <w:rPr>
          <w:b w:val="1"/>
          <w:bCs w:val="1"/>
          <w:rtl w:val="0"/>
        </w:rPr>
        <w:t xml:space="preserve">Ernesto Tironi</w:t>
      </w:r>
      <w:r w:rsidDel="00000000" w:rsidR="00000000" w:rsidRPr="00000000">
        <w:rPr>
          <w:rtl w:val="0"/>
        </w:rPr>
        <w:t xml:space="preserve"> y busca transformar experiencias concretas de gestión local en conocimiento útil para otras administraciones.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333375</wp:posOffset>
            </wp:positionV>
            <wp:extent cx="2697493" cy="1801346"/>
            <wp:effectExtent b="0" l="0" r="0" t="0"/>
            <wp:wrapSquare wrapText="bothSides" distB="114300" distT="114300" distL="114300" distR="114300"/>
            <wp:docPr id="156211111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97493" cy="180134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7">
      <w:pPr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El primer proyecto que será incorporado al repositorio corresponde a </w:t>
      </w:r>
      <w:r w:rsidDel="00000000" w:rsidR="00000000" w:rsidRPr="00000000">
        <w:rPr>
          <w:b w:val="1"/>
          <w:bCs w:val="1"/>
          <w:rtl w:val="0"/>
        </w:rPr>
        <w:t xml:space="preserve">“Patentes en un Día”</w:t>
      </w:r>
      <w:r w:rsidDel="00000000" w:rsidR="00000000" w:rsidRPr="00000000">
        <w:rPr>
          <w:rtl w:val="0"/>
        </w:rPr>
        <w:t xml:space="preserve">, iniciativa que comenzó a operar en diciembre de 2025 y que busca reducir significativamente los tiempos asociados a la tramitación de patentes comerciales y profesionales. El mecanismo permite otorgar una patente provisoria con una vigencia de hasta dos años, reduciendo el plazo de tramitación a un máximo de 24 horas. La experiencia constituye un caso de interés para analizar cómo la revisión y simplificación de procesos administrativos puede facilitar la relación entre los municipios y quienes necesitan realizar trámites para iniciar o desarrollar actividades económicas.</w:t>
      </w:r>
    </w:p>
    <w:p w:rsidR="00000000" w:rsidDel="00000000" w:rsidP="00000000" w:rsidRDefault="00000000" w:rsidRPr="00000000" w14:paraId="00000008">
      <w:pPr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El trabajo contempla posteriormente la incorporación de otras iniciativas desarrolladas por el municipio, entre ellas </w:t>
      </w:r>
      <w:r w:rsidDel="00000000" w:rsidR="00000000" w:rsidRPr="00000000">
        <w:rPr>
          <w:b w:val="1"/>
          <w:bCs w:val="1"/>
          <w:rtl w:val="0"/>
        </w:rPr>
        <w:t xml:space="preserve">los buses eléctricos, el planetario y proyectos vinculados a espacios de recreación</w:t>
      </w:r>
      <w:r w:rsidDel="00000000" w:rsidR="00000000" w:rsidRPr="00000000">
        <w:rPr>
          <w:rtl w:val="0"/>
        </w:rPr>
        <w:t xml:space="preserve">. De esta manera, el repositorio busca reunir progresivamente distintas experiencias de gestión municipal, identificando buenas prácticas y elementos que puedan servir como referencia para otros gobiernos locales que enfrenten desafíos similares.</w:t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80" w:before="360" w:line="240" w:lineRule="auto"/>
        <w:rPr>
          <w:rFonts w:ascii="Cal Sans" w:cs="Cal Sans" w:eastAsia="Cal Sans" w:hAnsi="Cal Sans"/>
          <w:b w:val="1"/>
          <w:bCs w:val="1"/>
          <w:color w:val="115e95"/>
          <w:sz w:val="34"/>
          <w:szCs w:val="34"/>
        </w:rPr>
      </w:pPr>
      <w:bookmarkStart w:colFirst="0" w:colLast="0" w:name="_heading=h.fzvbwc92778d" w:id="2"/>
      <w:bookmarkEnd w:id="2"/>
      <w:r w:rsidDel="00000000" w:rsidR="00000000" w:rsidRPr="00000000">
        <w:rPr>
          <w:rFonts w:ascii="Cal Sans" w:cs="Cal Sans" w:eastAsia="Cal Sans" w:hAnsi="Cal Sans"/>
          <w:b w:val="1"/>
          <w:bCs w:val="1"/>
          <w:color w:val="115e95"/>
          <w:sz w:val="34"/>
          <w:szCs w:val="34"/>
          <w:rtl w:val="0"/>
        </w:rPr>
        <w:t xml:space="preserve">Ley Lafkenche: propuestas para mejorar su implementación</w:t>
      </w:r>
    </w:p>
    <w:p w:rsidR="00000000" w:rsidDel="00000000" w:rsidP="00000000" w:rsidRDefault="00000000" w:rsidRPr="00000000" w14:paraId="0000000A">
      <w:pPr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El martes 18 de agosto, </w:t>
      </w:r>
      <w:r w:rsidDel="00000000" w:rsidR="00000000" w:rsidRPr="00000000">
        <w:rPr>
          <w:b w:val="1"/>
          <w:bCs w:val="1"/>
          <w:rtl w:val="0"/>
        </w:rPr>
        <w:t xml:space="preserve">Adolfo Alvial</w:t>
      </w:r>
      <w:r w:rsidDel="00000000" w:rsidR="00000000" w:rsidRPr="00000000">
        <w:rPr>
          <w:rtl w:val="0"/>
        </w:rPr>
        <w:t xml:space="preserve">, en representación de Democracia y Progreso, presentó ante la Subsecretaría de Pesca y Acuicultura una propuesta de modificaciones a la Ley N.º 20.249, conocida como </w:t>
      </w:r>
      <w:r w:rsidDel="00000000" w:rsidR="00000000" w:rsidRPr="00000000">
        <w:rPr>
          <w:b w:val="1"/>
          <w:bCs w:val="1"/>
          <w:rtl w:val="0"/>
        </w:rPr>
        <w:t xml:space="preserve">Ley Lafkenche</w:t>
      </w:r>
      <w:r w:rsidDel="00000000" w:rsidR="00000000" w:rsidRPr="00000000">
        <w:rPr>
          <w:rtl w:val="0"/>
        </w:rPr>
        <w:t xml:space="preserve">, a partir de los resultados de su estudio </w:t>
      </w:r>
      <w:r w:rsidDel="00000000" w:rsidR="00000000" w:rsidRPr="00000000">
        <w:rPr>
          <w:i w:val="1"/>
          <w:iCs w:val="1"/>
          <w:rtl w:val="0"/>
        </w:rPr>
        <w:t xml:space="preserve">“Ley Lafkenche: impactos y ajustes institucionales”</w:t>
      </w:r>
      <w:r w:rsidDel="00000000" w:rsidR="00000000" w:rsidRPr="00000000">
        <w:rPr>
          <w:rtl w:val="0"/>
        </w:rPr>
        <w:t xml:space="preserve">. Promulgada en 2008, la normativa creó los </w:t>
      </w:r>
      <w:r w:rsidDel="00000000" w:rsidR="00000000" w:rsidRPr="00000000">
        <w:rPr>
          <w:b w:val="1"/>
          <w:bCs w:val="1"/>
          <w:rtl w:val="0"/>
        </w:rPr>
        <w:t xml:space="preserve">Espacios Costeros Marinos de Pueblos Originarios (ECMPO)</w:t>
      </w:r>
      <w:r w:rsidDel="00000000" w:rsidR="00000000" w:rsidRPr="00000000">
        <w:rPr>
          <w:rtl w:val="0"/>
        </w:rPr>
        <w:t xml:space="preserve"> con el objetivo de reconocer y formalizar el vínculo ancestral de los pueblos originarios con determinados espacios del borde costero chileno.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1276350</wp:posOffset>
            </wp:positionV>
            <wp:extent cx="2963228" cy="2215410"/>
            <wp:effectExtent b="0" l="0" r="0" t="0"/>
            <wp:wrapSquare wrapText="bothSides" distB="114300" distT="114300" distL="114300" distR="114300"/>
            <wp:docPr id="1562111117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63228" cy="221541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B">
      <w:pPr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A casi dos décadas de su entrada en vigencia, la implementación de la ley ha evidenciado dificultades que involucran a los distintos usuarios del borde costero, a las comunidades y a los organismos encargados de gestionar estos procesos. El estudio elaborado por Alvial aborda precisamente la brecha entre </w:t>
      </w:r>
      <w:r w:rsidDel="00000000" w:rsidR="00000000" w:rsidRPr="00000000">
        <w:rPr>
          <w:b w:val="1"/>
          <w:bCs w:val="1"/>
          <w:rtl w:val="0"/>
        </w:rPr>
        <w:t xml:space="preserve">el propósito de la legislación y las dificultades surgidas durante su aplicación práctica</w:t>
      </w:r>
      <w:r w:rsidDel="00000000" w:rsidR="00000000" w:rsidRPr="00000000">
        <w:rPr>
          <w:rtl w:val="0"/>
        </w:rPr>
        <w:t xml:space="preserve">, identificando aspectos institucionales que requieren ser revisados y perfeccionados.</w:t>
      </w:r>
    </w:p>
    <w:p w:rsidR="00000000" w:rsidDel="00000000" w:rsidP="00000000" w:rsidRDefault="00000000" w:rsidRPr="00000000" w14:paraId="0000000C">
      <w:pPr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A partir de este diagnóstico, la propuesta busca plantear </w:t>
      </w:r>
      <w:r w:rsidDel="00000000" w:rsidR="00000000" w:rsidRPr="00000000">
        <w:rPr>
          <w:b w:val="1"/>
          <w:bCs w:val="1"/>
          <w:rtl w:val="0"/>
        </w:rPr>
        <w:t xml:space="preserve">caminos de solución dentro del actual marco legal</w:t>
      </w:r>
      <w:r w:rsidDel="00000000" w:rsidR="00000000" w:rsidRPr="00000000">
        <w:rPr>
          <w:rtl w:val="0"/>
        </w:rPr>
        <w:t xml:space="preserve">, orientados a mejorar el funcionamiento de los mecanismos existentes y abordar las dificultades detectadas en su implementación. El objetivo es contribuir a una aplicación más clara y eficiente de la normativa, considerando tanto el reconocimiento de los derechos establecidos por la ley como las distintas actividades y usuarios que confluyen en el borde costero.</w:t>
      </w:r>
    </w:p>
    <w:p w:rsidR="00000000" w:rsidDel="00000000" w:rsidP="00000000" w:rsidRDefault="00000000" w:rsidRPr="00000000" w14:paraId="0000000D">
      <w:pPr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La presentación ante la Subsecretaría de Pesca permitió poner estos planteamientos a disposición de la autoridad sectorial y abrir un espacio de diálogo sobre los desafíos que enfrenta actualmente la implementación de la Ley Lafkenche. Con ello, el trabajo desarrollado por el Centro de Estudios busca aportar antecedentes y propuestas a una discusión institucional que continúa abierta.</w:t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spacing w:after="80" w:before="360" w:line="240" w:lineRule="auto"/>
        <w:rPr/>
      </w:pPr>
      <w:bookmarkStart w:colFirst="0" w:colLast="0" w:name="_heading=h.rbv2w2jxq4pb" w:id="3"/>
      <w:bookmarkEnd w:id="3"/>
      <w:r w:rsidDel="00000000" w:rsidR="00000000" w:rsidRPr="00000000">
        <w:rPr>
          <w:b w:val="1"/>
          <w:bCs w:val="1"/>
          <w:color w:val="000000"/>
          <w:sz w:val="34"/>
          <w:szCs w:val="34"/>
          <w:rtl w:val="0"/>
        </w:rPr>
        <w:t xml:space="preserve">Del análisis a la propuesta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Para Democracia y Progreso, este tipo de trabajo permite que el conocimiento generado por el Centro dialogue directamente con las instituciones y con quienes participan de la implementación de políticas públicas, aportando </w:t>
      </w:r>
      <w:r w:rsidDel="00000000" w:rsidR="00000000" w:rsidRPr="00000000">
        <w:rPr>
          <w:b w:val="1"/>
          <w:bCs w:val="1"/>
          <w:rtl w:val="0"/>
        </w:rPr>
        <w:t xml:space="preserve">análisis, evidencia y propuestas orientadas a mejorar la gestión y fortalecer la capacidad de las instituciones para responder a problemas concretos.</w:t>
      </w:r>
      <w:r w:rsidDel="00000000" w:rsidR="00000000" w:rsidRPr="00000000">
        <w:rPr>
          <w:rtl w:val="0"/>
        </w:rPr>
      </w:r>
    </w:p>
    <w:sectPr>
      <w:headerReference r:id="rId9" w:type="default"/>
      <w:pgSz w:h="15840" w:w="12240" w:orient="portrait"/>
      <w:pgMar w:bottom="1417" w:top="1191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al Sans">
    <w:embedRegular w:fontKey="{00000000-0000-0000-0000-000000000000}" r:id="rId1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893607" cy="597992"/>
          <wp:effectExtent b="0" l="0" r="0" t="0"/>
          <wp:docPr id="156211111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93607" cy="59799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C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="276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1f3863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uentedeprrafopredeter" w:default="1">
    <w:name w:val="Default Paragraph Font"/>
    <w:uiPriority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Encabezado">
    <w:name w:val="header"/>
    <w:basedOn w:val="Normal"/>
    <w:link w:val="EncabezadoCar"/>
    <w:uiPriority w:val="99"/>
    <w:unhideWhenUsed w:val="1"/>
    <w:rsid w:val="00574197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574197"/>
  </w:style>
  <w:style w:type="paragraph" w:styleId="Piedepgina">
    <w:name w:val="footer"/>
    <w:basedOn w:val="Normal"/>
    <w:link w:val="PiedepginaCar"/>
    <w:uiPriority w:val="99"/>
    <w:unhideWhenUsed w:val="1"/>
    <w:rsid w:val="00574197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574197"/>
  </w:style>
  <w:style w:type="character" w:styleId="Hipervnculo">
    <w:name w:val="Hyperlink"/>
    <w:basedOn w:val="Fuentedeprrafopredeter"/>
    <w:uiPriority w:val="99"/>
    <w:unhideWhenUsed w:val="1"/>
    <w:rsid w:val="0057419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 w:val="1"/>
    <w:unhideWhenUsed w:val="1"/>
    <w:rsid w:val="00574197"/>
    <w:rPr>
      <w:color w:val="605e5c"/>
      <w:shd w:color="auto" w:fill="e1dfdd" w:val="clear"/>
    </w:rPr>
  </w:style>
  <w:style w:type="paragraph" w:styleId="Prrafodelista">
    <w:name w:val="List Paragraph"/>
    <w:basedOn w:val="Normal"/>
    <w:uiPriority w:val="34"/>
    <w:qFormat w:val="1"/>
    <w:rsid w:val="002F17B0"/>
    <w:pPr>
      <w:ind w:left="720"/>
      <w:contextualSpacing w:val="1"/>
    </w:pPr>
  </w:style>
  <w:style w:type="paragraph" w:styleId="Normal1" w:customStyle="1">
    <w:name w:val="Normal1"/>
    <w:rsid w:val="009C227D"/>
    <w:pPr>
      <w:spacing w:after="0" w:line="276" w:lineRule="auto"/>
    </w:pPr>
    <w:rPr>
      <w:rFonts w:ascii="Arial" w:cs="Arial" w:eastAsia="Arial" w:hAnsi="Arial"/>
      <w:lang w:eastAsia="es-ES"/>
    </w:rPr>
  </w:style>
  <w:style w:type="paragraph" w:styleId="Textonotapie">
    <w:name w:val="footnote text"/>
    <w:basedOn w:val="Normal"/>
    <w:link w:val="TextonotapieCar"/>
    <w:uiPriority w:val="99"/>
    <w:semiHidden w:val="1"/>
    <w:unhideWhenUsed w:val="1"/>
    <w:rsid w:val="00B040B4"/>
    <w:pPr>
      <w:spacing w:after="0" w:line="240" w:lineRule="auto"/>
    </w:pPr>
    <w:rPr>
      <w:sz w:val="20"/>
      <w:szCs w:val="20"/>
    </w:rPr>
  </w:style>
  <w:style w:type="character" w:styleId="TextonotapieCar" w:customStyle="1">
    <w:name w:val="Texto nota pie Car"/>
    <w:basedOn w:val="Fuentedeprrafopredeter"/>
    <w:link w:val="Textonotapie"/>
    <w:uiPriority w:val="99"/>
    <w:semiHidden w:val="1"/>
    <w:rsid w:val="00B040B4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 w:val="1"/>
    <w:unhideWhenUsed w:val="1"/>
    <w:rsid w:val="00B040B4"/>
    <w:rPr>
      <w:vertAlign w:val="superscript"/>
    </w:rPr>
  </w:style>
  <w:style w:type="character" w:styleId="Ttulo1Car" w:customStyle="1">
    <w:name w:val="Título 1 Car"/>
    <w:basedOn w:val="Fuentedeprrafopredeter"/>
    <w:link w:val="Ttulo1"/>
    <w:uiPriority w:val="9"/>
    <w:rsid w:val="00BC5057"/>
    <w:rPr>
      <w:rFonts w:asciiTheme="majorHAnsi" w:cstheme="majorBidi" w:eastAsiaTheme="majorEastAsia" w:hAnsiTheme="majorHAnsi"/>
      <w:color w:val="2f5496" w:themeColor="accent1" w:themeShade="0000BF"/>
      <w:sz w:val="32"/>
      <w:szCs w:val="32"/>
      <w:lang w:val="es-ES"/>
    </w:rPr>
  </w:style>
  <w:style w:type="character" w:styleId="Hipervnculovisitado">
    <w:name w:val="FollowedHyperlink"/>
    <w:basedOn w:val="Fuentedeprrafopredeter"/>
    <w:uiPriority w:val="99"/>
    <w:semiHidden w:val="1"/>
    <w:unhideWhenUsed w:val="1"/>
    <w:rsid w:val="00E87C65"/>
    <w:rPr>
      <w:color w:val="954f72" w:themeColor="followedHyperlink"/>
      <w:u w:val="single"/>
    </w:rPr>
  </w:style>
  <w:style w:type="character" w:styleId="Ttulo3Car" w:customStyle="1">
    <w:name w:val="Título 3 Car"/>
    <w:basedOn w:val="Fuentedeprrafopredeter"/>
    <w:link w:val="Ttulo3"/>
    <w:uiPriority w:val="9"/>
    <w:semiHidden w:val="1"/>
    <w:rsid w:val="000B250D"/>
    <w:rPr>
      <w:rFonts w:asciiTheme="majorHAnsi" w:cstheme="majorBidi" w:eastAsiaTheme="majorEastAsia" w:hAnsiTheme="majorHAnsi"/>
      <w:color w:val="1f3763" w:themeColor="accent1" w:themeShade="00007F"/>
      <w:sz w:val="24"/>
      <w:szCs w:val="24"/>
    </w:rPr>
  </w:style>
  <w:style w:type="character" w:styleId="Ttulo2Car" w:customStyle="1">
    <w:name w:val="Título 2 Car"/>
    <w:basedOn w:val="Fuentedeprrafopredeter"/>
    <w:link w:val="Ttulo2"/>
    <w:uiPriority w:val="9"/>
    <w:semiHidden w:val="1"/>
    <w:rsid w:val="000B250D"/>
    <w:rPr>
      <w:rFonts w:asciiTheme="majorHAnsi" w:cstheme="majorBidi" w:eastAsiaTheme="majorEastAsia" w:hAnsiTheme="majorHAnsi"/>
      <w:color w:val="2f5496" w:themeColor="accent1" w:themeShade="0000BF"/>
      <w:sz w:val="26"/>
      <w:szCs w:val="26"/>
    </w:rPr>
  </w:style>
  <w:style w:type="paragraph" w:styleId="Listaconvietas">
    <w:name w:val="List Bullet"/>
    <w:basedOn w:val="Normal"/>
    <w:uiPriority w:val="99"/>
    <w:unhideWhenUsed w:val="1"/>
    <w:rsid w:val="00AD43D7"/>
    <w:pPr>
      <w:numPr>
        <w:numId w:val="49"/>
      </w:numPr>
      <w:tabs>
        <w:tab w:val="clear" w:pos="360"/>
      </w:tabs>
      <w:spacing w:line="300" w:lineRule="auto"/>
      <w:ind w:left="0" w:firstLine="0"/>
      <w:contextualSpacing w:val="1"/>
      <w:jc w:val="both"/>
    </w:pPr>
    <w:rPr>
      <w:rFonts w:ascii="Cambria" w:hAnsi="Cambria" w:eastAsiaTheme="minorEastAsia"/>
      <w:lang w:val="en-US"/>
    </w:rPr>
  </w:style>
  <w:style w:type="table" w:styleId="Cuadrculaclara-nfasis1">
    <w:name w:val="Light Grid Accent 1"/>
    <w:basedOn w:val="Tablanormal"/>
    <w:uiPriority w:val="62"/>
    <w:rsid w:val="00AD43D7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color="4472c4" w:space="0" w:sz="8" w:themeColor="accent1" w:val="single"/>
        <w:left w:color="4472c4" w:space="0" w:sz="8" w:themeColor="accent1" w:val="single"/>
        <w:bottom w:color="4472c4" w:space="0" w:sz="8" w:themeColor="accent1" w:val="single"/>
        <w:right w:color="4472c4" w:space="0" w:sz="8" w:themeColor="accent1" w:val="single"/>
        <w:insideH w:color="4472c4" w:space="0" w:sz="8" w:themeColor="accent1" w:val="single"/>
        <w:insideV w:color="4472c4" w:space="0" w:sz="8" w:themeColor="accen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472c4" w:space="0" w:sz="8" w:themeColor="accent1" w:val="single"/>
          <w:left w:color="4472c4" w:space="0" w:sz="8" w:themeColor="accent1" w:val="single"/>
          <w:bottom w:color="4472c4" w:space="0" w:sz="18" w:themeColor="accent1" w:val="single"/>
          <w:right w:color="4472c4" w:space="0" w:sz="8" w:themeColor="accent1" w:val="single"/>
          <w:insideH w:space="0" w:sz="0" w:val="nil"/>
          <w:insideV w:color="4472c4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472c4" w:space="0" w:sz="6" w:themeColor="accent1" w:val="double"/>
          <w:left w:color="4472c4" w:space="0" w:sz="8" w:themeColor="accent1" w:val="single"/>
          <w:bottom w:color="4472c4" w:space="0" w:sz="8" w:themeColor="accent1" w:val="single"/>
          <w:right w:color="4472c4" w:space="0" w:sz="8" w:themeColor="accent1" w:val="single"/>
          <w:insideH w:space="0" w:sz="0" w:val="nil"/>
          <w:insideV w:color="4472c4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472c4" w:space="0" w:sz="8" w:themeColor="accent1" w:val="single"/>
          <w:left w:color="4472c4" w:space="0" w:sz="8" w:themeColor="accent1" w:val="single"/>
          <w:bottom w:color="4472c4" w:space="0" w:sz="8" w:themeColor="accent1" w:val="single"/>
          <w:right w:color="4472c4" w:space="0" w:sz="8" w:themeColor="accent1" w:val="single"/>
        </w:tcBorders>
      </w:tcPr>
    </w:tblStylePr>
    <w:tblStylePr w:type="band1Vert">
      <w:tblPr/>
      <w:tcPr>
        <w:tcBorders>
          <w:top w:color="4472c4" w:space="0" w:sz="8" w:themeColor="accent1" w:val="single"/>
          <w:left w:color="4472c4" w:space="0" w:sz="8" w:themeColor="accent1" w:val="single"/>
          <w:bottom w:color="4472c4" w:space="0" w:sz="8" w:themeColor="accent1" w:val="single"/>
          <w:right w:color="4472c4" w:space="0" w:sz="8" w:themeColor="accent1" w:val="single"/>
        </w:tcBorders>
        <w:shd w:color="auto" w:fill="d0dbf0" w:themeFill="accent1" w:themeFillTint="00003F" w:val="clear"/>
      </w:tcPr>
    </w:tblStylePr>
    <w:tblStylePr w:type="band1Horz">
      <w:tblPr/>
      <w:tcPr>
        <w:tcBorders>
          <w:top w:color="4472c4" w:space="0" w:sz="8" w:themeColor="accent1" w:val="single"/>
          <w:left w:color="4472c4" w:space="0" w:sz="8" w:themeColor="accent1" w:val="single"/>
          <w:bottom w:color="4472c4" w:space="0" w:sz="8" w:themeColor="accent1" w:val="single"/>
          <w:right w:color="4472c4" w:space="0" w:sz="8" w:themeColor="accent1" w:val="single"/>
          <w:insideV w:color="4472c4" w:space="0" w:sz="8" w:themeColor="accent1" w:val="single"/>
        </w:tcBorders>
        <w:shd w:color="auto" w:fill="d0dbf0" w:themeFill="accent1" w:themeFillTint="00003F" w:val="clear"/>
      </w:tcPr>
    </w:tblStylePr>
    <w:tblStylePr w:type="band2Horz">
      <w:tblPr/>
      <w:tcPr>
        <w:tcBorders>
          <w:top w:color="4472c4" w:space="0" w:sz="8" w:themeColor="accent1" w:val="single"/>
          <w:left w:color="4472c4" w:space="0" w:sz="8" w:themeColor="accent1" w:val="single"/>
          <w:bottom w:color="4472c4" w:space="0" w:sz="8" w:themeColor="accent1" w:val="single"/>
          <w:right w:color="4472c4" w:space="0" w:sz="8" w:themeColor="accent1" w:val="single"/>
          <w:insideV w:color="4472c4" w:space="0" w:sz="8" w:themeColor="accent1" w:val="single"/>
        </w:tcBorders>
      </w:tcPr>
    </w:tblStyle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lSans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IDeJSimWnVfFkg0uVit3Hr84Jg==">CgMxLjAyDmguY3dicHhkYXk0ZTNlMg5oLnQ3dDJjdG81cHMxYTIOaC5menZid2M5Mjc3OGQyDmgucmJ2MncyanhxNHBiOAByITFfX3RkMEc4dC1LVVliT05vdklsd1MxTm8zWW9xb25mYw==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2026-08-25T14:44:00Z</dcterms:created>
  <dc:creator>Pedro Fresno Marzolo</dc:creator>
</cp:coreProperties>
</file>